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B98" w:rsidRPr="00462B98" w:rsidRDefault="00462B98" w:rsidP="00462B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62B98">
        <w:rPr>
          <w:rFonts w:ascii="Times New Roman" w:eastAsia="Times New Roman" w:hAnsi="Times New Roman" w:cs="Times New Roman"/>
          <w:b/>
          <w:bCs/>
          <w:sz w:val="36"/>
          <w:szCs w:val="36"/>
          <w:lang w:eastAsia="fr-FR"/>
        </w:rPr>
        <w:t>Questions ouvertes (vérification de compréhension)</w:t>
      </w:r>
    </w:p>
    <w:p w:rsidR="00462B98" w:rsidRPr="00462B98" w:rsidRDefault="00462B98" w:rsidP="00462B9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Expliquez pourquoi une organisation claire et partagée est essentielle pour la mise en place durable des entretiens pharmaceutiques.</w:t>
      </w:r>
    </w:p>
    <w:p w:rsidR="00462B98" w:rsidRPr="00462B98" w:rsidRDefault="00462B98" w:rsidP="00462B9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Quels outils et supports peuvent être utilisés pour communiquer efficacement sur les entretiens pharmaceutiques auprès des patients ?</w:t>
      </w:r>
    </w:p>
    <w:p w:rsidR="00462B98" w:rsidRPr="00462B98" w:rsidRDefault="00462B98" w:rsidP="00462B98">
      <w:pPr>
        <w:numPr>
          <w:ilvl w:val="0"/>
          <w:numId w:val="14"/>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Quels indicateurs clés peuvent être suivis pour valoriser et pérenniser la pratique des entretiens pharmaceutiques au sein de l’équipe ?</w:t>
      </w:r>
    </w:p>
    <w:p w:rsidR="00462B98" w:rsidRPr="00462B98" w:rsidRDefault="00462B98" w:rsidP="00462B98">
      <w:pPr>
        <w:spacing w:after="0"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pict>
          <v:rect id="_x0000_i1070" style="width:0;height:1.5pt" o:hralign="center" o:hrstd="t" o:hr="t" fillcolor="#a0a0a0" stroked="f"/>
        </w:pict>
      </w:r>
    </w:p>
    <w:p w:rsidR="00462B98" w:rsidRPr="00462B98" w:rsidRDefault="00462B98" w:rsidP="00462B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62B98">
        <w:rPr>
          <w:rFonts w:ascii="Times New Roman" w:eastAsia="Times New Roman" w:hAnsi="Times New Roman" w:cs="Times New Roman"/>
          <w:b/>
          <w:bCs/>
          <w:sz w:val="36"/>
          <w:szCs w:val="36"/>
          <w:lang w:eastAsia="fr-FR"/>
        </w:rPr>
        <w:t>Quizz (QCM)</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1 : Quelle affirmation reflète le mieux le principe fondamental pour organiser les entretiens pharmaceutiques ?</w:t>
      </w:r>
      <w:r w:rsidRPr="00462B98">
        <w:rPr>
          <w:rFonts w:ascii="Times New Roman" w:eastAsia="Times New Roman" w:hAnsi="Times New Roman" w:cs="Times New Roman"/>
          <w:sz w:val="24"/>
          <w:szCs w:val="24"/>
          <w:lang w:eastAsia="fr-FR"/>
        </w:rPr>
        <w:br/>
        <w:t>A. Utiliser des outils complexes et nombreux pour couvrir toutes les situations.</w:t>
      </w:r>
      <w:r w:rsidRPr="00462B98">
        <w:rPr>
          <w:rFonts w:ascii="Times New Roman" w:eastAsia="Times New Roman" w:hAnsi="Times New Roman" w:cs="Times New Roman"/>
          <w:sz w:val="24"/>
          <w:szCs w:val="24"/>
          <w:lang w:eastAsia="fr-FR"/>
        </w:rPr>
        <w:br/>
        <w:t>B. Avoir un circuit simple, clair et partagé pour que chacun sache qui fait quoi et quand.</w:t>
      </w:r>
      <w:r w:rsidRPr="00462B98">
        <w:rPr>
          <w:rFonts w:ascii="Times New Roman" w:eastAsia="Times New Roman" w:hAnsi="Times New Roman" w:cs="Times New Roman"/>
          <w:sz w:val="24"/>
          <w:szCs w:val="24"/>
          <w:lang w:eastAsia="fr-FR"/>
        </w:rPr>
        <w:br/>
        <w:t>C. Laisser chaque collaborateur gérer ses propres entretiens de manière indépendante.</w:t>
      </w:r>
      <w:r w:rsidRPr="00462B98">
        <w:rPr>
          <w:rFonts w:ascii="Times New Roman" w:eastAsia="Times New Roman" w:hAnsi="Times New Roman" w:cs="Times New Roman"/>
          <w:sz w:val="24"/>
          <w:szCs w:val="24"/>
          <w:lang w:eastAsia="fr-FR"/>
        </w:rPr>
        <w:br/>
        <w:t>D. Se concentrer uniquement sur la planification sans suivi des résultats.</w:t>
      </w:r>
    </w:p>
    <w:p w:rsidR="00462B98" w:rsidRPr="00462B98" w:rsidRDefault="00462B98" w:rsidP="00462B98">
      <w:pPr>
        <w:spacing w:after="0"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pict>
          <v:rect id="_x0000_i1071" style="width:0;height:1.5pt" o:hralign="center" o:hrstd="t" o:hr="t" fillcolor="#a0a0a0" stroked="f"/>
        </w:pic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2 : Parmi les actions suivantes, lesquelles contribuent à la communication efficace des entretiens pharmaceutiques auprès des patients ?</w:t>
      </w:r>
      <w:r w:rsidRPr="00462B98">
        <w:rPr>
          <w:rFonts w:ascii="Times New Roman" w:eastAsia="Times New Roman" w:hAnsi="Times New Roman" w:cs="Times New Roman"/>
          <w:sz w:val="24"/>
          <w:szCs w:val="24"/>
          <w:lang w:eastAsia="fr-FR"/>
        </w:rPr>
        <w:br/>
        <w:t>A. Placer des affiches et flyers discrets à proximité du comptoir.</w:t>
      </w:r>
      <w:r w:rsidRPr="00462B98">
        <w:rPr>
          <w:rFonts w:ascii="Times New Roman" w:eastAsia="Times New Roman" w:hAnsi="Times New Roman" w:cs="Times New Roman"/>
          <w:sz w:val="24"/>
          <w:szCs w:val="24"/>
          <w:lang w:eastAsia="fr-FR"/>
        </w:rPr>
        <w:br/>
        <w:t>B. Utiliser une signalétique claire et visible dans l’officine.</w:t>
      </w:r>
      <w:r w:rsidRPr="00462B98">
        <w:rPr>
          <w:rFonts w:ascii="Times New Roman" w:eastAsia="Times New Roman" w:hAnsi="Times New Roman" w:cs="Times New Roman"/>
          <w:sz w:val="24"/>
          <w:szCs w:val="24"/>
          <w:lang w:eastAsia="fr-FR"/>
        </w:rPr>
        <w:br/>
        <w:t>C. Attendre que le patient demande l’information avant d’en parler.</w:t>
      </w:r>
      <w:r w:rsidRPr="00462B98">
        <w:rPr>
          <w:rFonts w:ascii="Times New Roman" w:eastAsia="Times New Roman" w:hAnsi="Times New Roman" w:cs="Times New Roman"/>
          <w:sz w:val="24"/>
          <w:szCs w:val="24"/>
          <w:lang w:eastAsia="fr-FR"/>
        </w:rPr>
        <w:br/>
        <w:t>D. Parler naturellement des entretiens au comptoir lors des interactions.</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i/>
          <w:iCs/>
          <w:sz w:val="24"/>
          <w:szCs w:val="24"/>
          <w:lang w:eastAsia="fr-FR"/>
        </w:rPr>
        <w:t>(Plusieurs réponses possibles)</w:t>
      </w:r>
    </w:p>
    <w:p w:rsidR="00462B98" w:rsidRPr="00462B98" w:rsidRDefault="00462B98" w:rsidP="00462B98">
      <w:pPr>
        <w:spacing w:after="0"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pict>
          <v:rect id="_x0000_i1072" style="width:0;height:1.5pt" o:hralign="center" o:hrstd="t" o:hr="t" fillcolor="#a0a0a0" stroked="f"/>
        </w:pic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3 : Quels éléments sont importants pour suivre et valoriser les résultats des entretiens pharmaceutiques ?</w:t>
      </w:r>
      <w:r w:rsidRPr="00462B98">
        <w:rPr>
          <w:rFonts w:ascii="Times New Roman" w:eastAsia="Times New Roman" w:hAnsi="Times New Roman" w:cs="Times New Roman"/>
          <w:sz w:val="24"/>
          <w:szCs w:val="24"/>
          <w:lang w:eastAsia="fr-FR"/>
        </w:rPr>
        <w:br/>
        <w:t>A. Nombre d’entretiens réalisés par mois et par thématique.</w:t>
      </w:r>
      <w:r w:rsidRPr="00462B98">
        <w:rPr>
          <w:rFonts w:ascii="Times New Roman" w:eastAsia="Times New Roman" w:hAnsi="Times New Roman" w:cs="Times New Roman"/>
          <w:sz w:val="24"/>
          <w:szCs w:val="24"/>
          <w:lang w:eastAsia="fr-FR"/>
        </w:rPr>
        <w:br/>
        <w:t>B. Taux de recrutement et nombre de propositions acceptées.</w:t>
      </w:r>
      <w:r w:rsidRPr="00462B98">
        <w:rPr>
          <w:rFonts w:ascii="Times New Roman" w:eastAsia="Times New Roman" w:hAnsi="Times New Roman" w:cs="Times New Roman"/>
          <w:sz w:val="24"/>
          <w:szCs w:val="24"/>
          <w:lang w:eastAsia="fr-FR"/>
        </w:rPr>
        <w:br/>
        <w:t>C. Retours et satisfaction des patients.</w:t>
      </w:r>
      <w:r w:rsidRPr="00462B98">
        <w:rPr>
          <w:rFonts w:ascii="Times New Roman" w:eastAsia="Times New Roman" w:hAnsi="Times New Roman" w:cs="Times New Roman"/>
          <w:sz w:val="24"/>
          <w:szCs w:val="24"/>
          <w:lang w:eastAsia="fr-FR"/>
        </w:rPr>
        <w:br/>
        <w:t>D. Les préférences personnelles des collaborateurs pour certaines thématiques.</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i/>
          <w:iCs/>
          <w:sz w:val="24"/>
          <w:szCs w:val="24"/>
          <w:lang w:eastAsia="fr-FR"/>
        </w:rPr>
        <w:t>(Plusieurs réponses possibles)</w:t>
      </w:r>
    </w:p>
    <w:p w:rsidR="00462B98" w:rsidRPr="00462B98" w:rsidRDefault="00462B98" w:rsidP="00462B98">
      <w:pPr>
        <w:spacing w:after="0"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pict>
          <v:rect id="_x0000_i1073" style="width:0;height:1.5pt" o:hralign="center" o:hrstd="t" o:hr="t" fillcolor="#a0a0a0" stroked="f"/>
        </w:pict>
      </w:r>
    </w:p>
    <w:p w:rsidR="00462B98" w:rsidRPr="00462B98" w:rsidRDefault="00462B98" w:rsidP="00462B98">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462B98">
        <w:rPr>
          <w:rFonts w:ascii="Times New Roman" w:eastAsia="Times New Roman" w:hAnsi="Times New Roman" w:cs="Times New Roman"/>
          <w:b/>
          <w:bCs/>
          <w:sz w:val="36"/>
          <w:szCs w:val="36"/>
          <w:lang w:eastAsia="fr-FR"/>
        </w:rPr>
        <w:t>Réponses et justifications</w:t>
      </w:r>
    </w:p>
    <w:p w:rsidR="00462B98" w:rsidRPr="00462B98" w:rsidRDefault="00462B98" w:rsidP="00462B9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462B98">
        <w:rPr>
          <w:rFonts w:ascii="Times New Roman" w:eastAsia="Times New Roman" w:hAnsi="Times New Roman" w:cs="Times New Roman"/>
          <w:b/>
          <w:bCs/>
          <w:sz w:val="27"/>
          <w:szCs w:val="27"/>
          <w:lang w:eastAsia="fr-FR"/>
        </w:rPr>
        <w:t>Questions ouvertes</w:t>
      </w:r>
    </w:p>
    <w:p w:rsidR="00462B98" w:rsidRPr="00462B98" w:rsidRDefault="00462B98" w:rsidP="00462B9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lastRenderedPageBreak/>
        <w:t>Réponse attendue :</w:t>
      </w:r>
      <w:r w:rsidRPr="00462B98">
        <w:rPr>
          <w:rFonts w:ascii="Times New Roman" w:eastAsia="Times New Roman" w:hAnsi="Times New Roman" w:cs="Times New Roman"/>
          <w:sz w:val="24"/>
          <w:szCs w:val="24"/>
          <w:lang w:eastAsia="fr-FR"/>
        </w:rPr>
        <w:t xml:space="preserve"> Une organisation claire et partagée permet d’éviter les oublis, d’assurer la continuité des entretiens et de clarifier les rôles de chaque membre de l’équipe (qui repère, qui propose, qui valide, qui conduit l’entretien). Cela garantit la fluidité et la qualité du dispositif.</w:t>
      </w:r>
    </w:p>
    <w:p w:rsidR="00462B98" w:rsidRPr="00462B98" w:rsidRDefault="00462B98" w:rsidP="00462B98">
      <w:pPr>
        <w:numPr>
          <w:ilvl w:val="0"/>
          <w:numId w:val="15"/>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Réponse attendue :</w:t>
      </w:r>
      <w:r w:rsidRPr="00462B98">
        <w:rPr>
          <w:rFonts w:ascii="Times New Roman" w:eastAsia="Times New Roman" w:hAnsi="Times New Roman" w:cs="Times New Roman"/>
          <w:sz w:val="24"/>
          <w:szCs w:val="24"/>
          <w:lang w:eastAsia="fr-FR"/>
        </w:rPr>
        <w:t xml:space="preserve"> Les outils et supports incluent :</w:t>
      </w:r>
    </w:p>
    <w:p w:rsidR="00462B98" w:rsidRPr="00462B98" w:rsidRDefault="00462B98" w:rsidP="00462B9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Affiches et flyers discrets à proximité des comptoirs, mentionnant les thématiques.</w:t>
      </w:r>
    </w:p>
    <w:p w:rsidR="00462B98" w:rsidRPr="00462B98" w:rsidRDefault="00462B98" w:rsidP="00462B9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Signalétique claire (“Entretiens pharmaceutiques disponibles ici”).</w:t>
      </w:r>
    </w:p>
    <w:p w:rsidR="00462B98" w:rsidRPr="00462B98" w:rsidRDefault="00462B98" w:rsidP="00462B98">
      <w:pPr>
        <w:numPr>
          <w:ilvl w:val="0"/>
          <w:numId w:val="16"/>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Communication verbale naturelle par chaque membre de l’équipe lors des échanges avec les patients.</w:t>
      </w:r>
    </w:p>
    <w:p w:rsidR="00462B98" w:rsidRPr="00462B98" w:rsidRDefault="00462B98" w:rsidP="00462B98">
      <w:pPr>
        <w:numPr>
          <w:ilvl w:val="0"/>
          <w:numId w:val="17"/>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Réponse attendue :</w:t>
      </w:r>
      <w:r w:rsidRPr="00462B98">
        <w:rPr>
          <w:rFonts w:ascii="Times New Roman" w:eastAsia="Times New Roman" w:hAnsi="Times New Roman" w:cs="Times New Roman"/>
          <w:sz w:val="24"/>
          <w:szCs w:val="24"/>
          <w:lang w:eastAsia="fr-FR"/>
        </w:rPr>
        <w:t xml:space="preserve"> Les indicateurs clés à suivre sont :</w:t>
      </w:r>
    </w:p>
    <w:p w:rsidR="00462B98" w:rsidRPr="00462B98" w:rsidRDefault="00462B98" w:rsidP="00462B9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Nombre d’entretiens réalisés par mois, par thématique ou collaborateur.</w:t>
      </w:r>
    </w:p>
    <w:p w:rsidR="00462B98" w:rsidRPr="00462B98" w:rsidRDefault="00462B98" w:rsidP="00462B9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Taux de recrutement (propositions aboutissant à un entretien).</w:t>
      </w:r>
    </w:p>
    <w:p w:rsidR="00462B98" w:rsidRPr="00462B98" w:rsidRDefault="00462B98" w:rsidP="00462B9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Retours patients : satisfaction, utilité perçue, suggestions.</w:t>
      </w:r>
    </w:p>
    <w:p w:rsidR="00462B98" w:rsidRPr="00462B98" w:rsidRDefault="00462B98" w:rsidP="00462B98">
      <w:pPr>
        <w:numPr>
          <w:ilvl w:val="0"/>
          <w:numId w:val="18"/>
        </w:num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t>Impact économique et d’image : ROSP, fidélisation, retours positifs.</w:t>
      </w:r>
    </w:p>
    <w:p w:rsidR="00462B98" w:rsidRPr="00462B98" w:rsidRDefault="00462B98" w:rsidP="00462B98">
      <w:pPr>
        <w:spacing w:after="0"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sz w:val="24"/>
          <w:szCs w:val="24"/>
          <w:lang w:eastAsia="fr-FR"/>
        </w:rPr>
        <w:pict>
          <v:rect id="_x0000_i1074" style="width:0;height:1.5pt" o:hralign="center" o:hrstd="t" o:hr="t" fillcolor="#a0a0a0" stroked="f"/>
        </w:pict>
      </w:r>
    </w:p>
    <w:p w:rsidR="00462B98" w:rsidRPr="00462B98" w:rsidRDefault="00462B98" w:rsidP="00462B98">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462B98">
        <w:rPr>
          <w:rFonts w:ascii="Times New Roman" w:eastAsia="Times New Roman" w:hAnsi="Times New Roman" w:cs="Times New Roman"/>
          <w:b/>
          <w:bCs/>
          <w:sz w:val="27"/>
          <w:szCs w:val="27"/>
          <w:lang w:eastAsia="fr-FR"/>
        </w:rPr>
        <w:t>QCM</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1 :</w:t>
      </w:r>
      <w:r w:rsidRPr="00462B98">
        <w:rPr>
          <w:rFonts w:ascii="Times New Roman" w:eastAsia="Times New Roman" w:hAnsi="Times New Roman" w:cs="Times New Roman"/>
          <w:sz w:val="24"/>
          <w:szCs w:val="24"/>
          <w:lang w:eastAsia="fr-FR"/>
        </w:rPr>
        <w:t xml:space="preserve"> B </w:t>
      </w:r>
      <w:r w:rsidRPr="00462B98">
        <w:rPr>
          <w:rFonts w:ascii="Segoe UI Symbol" w:eastAsia="Times New Roman" w:hAnsi="Segoe UI Symbol" w:cs="Segoe UI Symbol"/>
          <w:sz w:val="24"/>
          <w:szCs w:val="24"/>
          <w:lang w:eastAsia="fr-FR"/>
        </w:rPr>
        <w:t>✅</w:t>
      </w:r>
      <w:r w:rsidRPr="00462B98">
        <w:rPr>
          <w:rFonts w:ascii="Times New Roman" w:eastAsia="Times New Roman" w:hAnsi="Times New Roman" w:cs="Times New Roman"/>
          <w:sz w:val="24"/>
          <w:szCs w:val="24"/>
          <w:lang w:eastAsia="fr-FR"/>
        </w:rPr>
        <w:br/>
      </w:r>
      <w:r w:rsidRPr="00462B98">
        <w:rPr>
          <w:rFonts w:ascii="Times New Roman" w:eastAsia="Times New Roman" w:hAnsi="Times New Roman" w:cs="Times New Roman"/>
          <w:b/>
          <w:bCs/>
          <w:sz w:val="24"/>
          <w:szCs w:val="24"/>
          <w:lang w:eastAsia="fr-FR"/>
        </w:rPr>
        <w:t>Justification :</w:t>
      </w:r>
      <w:r w:rsidRPr="00462B98">
        <w:rPr>
          <w:rFonts w:ascii="Times New Roman" w:eastAsia="Times New Roman" w:hAnsi="Times New Roman" w:cs="Times New Roman"/>
          <w:sz w:val="24"/>
          <w:szCs w:val="24"/>
          <w:lang w:eastAsia="fr-FR"/>
        </w:rPr>
        <w:t xml:space="preserve"> La simplicité, la clarté et le partage des responsabilités sont essentiels pour que le dispositif fonctionne durablement. L’utilisation d’outils complexes ou l’absence de suivi nuisent à l’efficacité.</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2 :</w:t>
      </w:r>
      <w:r w:rsidRPr="00462B98">
        <w:rPr>
          <w:rFonts w:ascii="Times New Roman" w:eastAsia="Times New Roman" w:hAnsi="Times New Roman" w:cs="Times New Roman"/>
          <w:sz w:val="24"/>
          <w:szCs w:val="24"/>
          <w:lang w:eastAsia="fr-FR"/>
        </w:rPr>
        <w:t xml:space="preserve"> A, B, D </w:t>
      </w:r>
      <w:r w:rsidRPr="00462B98">
        <w:rPr>
          <w:rFonts w:ascii="Segoe UI Symbol" w:eastAsia="Times New Roman" w:hAnsi="Segoe UI Symbol" w:cs="Segoe UI Symbol"/>
          <w:sz w:val="24"/>
          <w:szCs w:val="24"/>
          <w:lang w:eastAsia="fr-FR"/>
        </w:rPr>
        <w:t>✅</w:t>
      </w:r>
      <w:r w:rsidRPr="00462B98">
        <w:rPr>
          <w:rFonts w:ascii="Times New Roman" w:eastAsia="Times New Roman" w:hAnsi="Times New Roman" w:cs="Times New Roman"/>
          <w:sz w:val="24"/>
          <w:szCs w:val="24"/>
          <w:lang w:eastAsia="fr-FR"/>
        </w:rPr>
        <w:br/>
      </w:r>
      <w:r w:rsidRPr="00462B98">
        <w:rPr>
          <w:rFonts w:ascii="Times New Roman" w:eastAsia="Times New Roman" w:hAnsi="Times New Roman" w:cs="Times New Roman"/>
          <w:b/>
          <w:bCs/>
          <w:sz w:val="24"/>
          <w:szCs w:val="24"/>
          <w:lang w:eastAsia="fr-FR"/>
        </w:rPr>
        <w:t>Justification :</w:t>
      </w:r>
      <w:r w:rsidRPr="00462B98">
        <w:rPr>
          <w:rFonts w:ascii="Times New Roman" w:eastAsia="Times New Roman" w:hAnsi="Times New Roman" w:cs="Times New Roman"/>
          <w:sz w:val="24"/>
          <w:szCs w:val="24"/>
          <w:lang w:eastAsia="fr-FR"/>
        </w:rPr>
        <w:t xml:space="preserve"> Les affiches, la signalétique et la communication verbale naturelle rendent le service visible et crédible. Attendre que le patient pose la question ne permet pas de créer un réflexe et de légitimer le service.</w:t>
      </w:r>
    </w:p>
    <w:p w:rsidR="00462B98" w:rsidRPr="00462B98" w:rsidRDefault="00462B98" w:rsidP="00462B98">
      <w:pPr>
        <w:spacing w:before="100" w:beforeAutospacing="1" w:after="100" w:afterAutospacing="1" w:line="240" w:lineRule="auto"/>
        <w:rPr>
          <w:rFonts w:ascii="Times New Roman" w:eastAsia="Times New Roman" w:hAnsi="Times New Roman" w:cs="Times New Roman"/>
          <w:sz w:val="24"/>
          <w:szCs w:val="24"/>
          <w:lang w:eastAsia="fr-FR"/>
        </w:rPr>
      </w:pPr>
      <w:r w:rsidRPr="00462B98">
        <w:rPr>
          <w:rFonts w:ascii="Times New Roman" w:eastAsia="Times New Roman" w:hAnsi="Times New Roman" w:cs="Times New Roman"/>
          <w:b/>
          <w:bCs/>
          <w:sz w:val="24"/>
          <w:szCs w:val="24"/>
          <w:lang w:eastAsia="fr-FR"/>
        </w:rPr>
        <w:t>QCM 3 :</w:t>
      </w:r>
      <w:r w:rsidRPr="00462B98">
        <w:rPr>
          <w:rFonts w:ascii="Times New Roman" w:eastAsia="Times New Roman" w:hAnsi="Times New Roman" w:cs="Times New Roman"/>
          <w:sz w:val="24"/>
          <w:szCs w:val="24"/>
          <w:lang w:eastAsia="fr-FR"/>
        </w:rPr>
        <w:t xml:space="preserve"> A, B, C </w:t>
      </w:r>
      <w:r w:rsidRPr="00462B98">
        <w:rPr>
          <w:rFonts w:ascii="Segoe UI Symbol" w:eastAsia="Times New Roman" w:hAnsi="Segoe UI Symbol" w:cs="Segoe UI Symbol"/>
          <w:sz w:val="24"/>
          <w:szCs w:val="24"/>
          <w:lang w:eastAsia="fr-FR"/>
        </w:rPr>
        <w:t>✅</w:t>
      </w:r>
      <w:r w:rsidRPr="00462B98">
        <w:rPr>
          <w:rFonts w:ascii="Times New Roman" w:eastAsia="Times New Roman" w:hAnsi="Times New Roman" w:cs="Times New Roman"/>
          <w:sz w:val="24"/>
          <w:szCs w:val="24"/>
          <w:lang w:eastAsia="fr-FR"/>
        </w:rPr>
        <w:br/>
      </w:r>
      <w:r w:rsidRPr="00462B98">
        <w:rPr>
          <w:rFonts w:ascii="Times New Roman" w:eastAsia="Times New Roman" w:hAnsi="Times New Roman" w:cs="Times New Roman"/>
          <w:b/>
          <w:bCs/>
          <w:sz w:val="24"/>
          <w:szCs w:val="24"/>
          <w:lang w:eastAsia="fr-FR"/>
        </w:rPr>
        <w:t>Justification :</w:t>
      </w:r>
      <w:r w:rsidRPr="00462B98">
        <w:rPr>
          <w:rFonts w:ascii="Times New Roman" w:eastAsia="Times New Roman" w:hAnsi="Times New Roman" w:cs="Times New Roman"/>
          <w:sz w:val="24"/>
          <w:szCs w:val="24"/>
          <w:lang w:eastAsia="fr-FR"/>
        </w:rPr>
        <w:t xml:space="preserve"> Suivre le nombre d’entretiens, le taux de recrutement et les retours patients permet de valoriser le travail collectif et d’ancrer durablement la pratique. Les préférences personnelles des collaborateurs ne constituent pas un indicateur pertinent.</w:t>
      </w:r>
    </w:p>
    <w:p w:rsidR="001D7C9B" w:rsidRDefault="001D7C9B">
      <w:bookmarkStart w:id="0" w:name="_GoBack"/>
      <w:bookmarkEnd w:id="0"/>
    </w:p>
    <w:sectPr w:rsidR="001D7C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4A0"/>
    <w:multiLevelType w:val="multilevel"/>
    <w:tmpl w:val="7E68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122EC"/>
    <w:multiLevelType w:val="multilevel"/>
    <w:tmpl w:val="05422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490270"/>
    <w:multiLevelType w:val="multilevel"/>
    <w:tmpl w:val="6FD00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53ADC"/>
    <w:multiLevelType w:val="multilevel"/>
    <w:tmpl w:val="A49A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6256B0"/>
    <w:multiLevelType w:val="multilevel"/>
    <w:tmpl w:val="C09494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F510F2"/>
    <w:multiLevelType w:val="multilevel"/>
    <w:tmpl w:val="A0625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9FF7AD4"/>
    <w:multiLevelType w:val="multilevel"/>
    <w:tmpl w:val="F1FC1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13112A"/>
    <w:multiLevelType w:val="multilevel"/>
    <w:tmpl w:val="5B728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6023F"/>
    <w:multiLevelType w:val="multilevel"/>
    <w:tmpl w:val="8D4C4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765019"/>
    <w:multiLevelType w:val="multilevel"/>
    <w:tmpl w:val="10D2B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051363"/>
    <w:multiLevelType w:val="multilevel"/>
    <w:tmpl w:val="F99692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19706D"/>
    <w:multiLevelType w:val="multilevel"/>
    <w:tmpl w:val="B2BA2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C7051D"/>
    <w:multiLevelType w:val="multilevel"/>
    <w:tmpl w:val="8CECC2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6B00709"/>
    <w:multiLevelType w:val="multilevel"/>
    <w:tmpl w:val="174AD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0D0658"/>
    <w:multiLevelType w:val="multilevel"/>
    <w:tmpl w:val="333AA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C059A8"/>
    <w:multiLevelType w:val="multilevel"/>
    <w:tmpl w:val="7506C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3C4074C"/>
    <w:multiLevelType w:val="multilevel"/>
    <w:tmpl w:val="3CFE4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516BA5"/>
    <w:multiLevelType w:val="multilevel"/>
    <w:tmpl w:val="BAEC75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1"/>
  </w:num>
  <w:num w:numId="3">
    <w:abstractNumId w:val="6"/>
  </w:num>
  <w:num w:numId="4">
    <w:abstractNumId w:val="9"/>
  </w:num>
  <w:num w:numId="5">
    <w:abstractNumId w:val="14"/>
  </w:num>
  <w:num w:numId="6">
    <w:abstractNumId w:val="2"/>
  </w:num>
  <w:num w:numId="7">
    <w:abstractNumId w:val="4"/>
  </w:num>
  <w:num w:numId="8">
    <w:abstractNumId w:val="3"/>
  </w:num>
  <w:num w:numId="9">
    <w:abstractNumId w:val="10"/>
  </w:num>
  <w:num w:numId="10">
    <w:abstractNumId w:val="5"/>
  </w:num>
  <w:num w:numId="11">
    <w:abstractNumId w:val="0"/>
  </w:num>
  <w:num w:numId="12">
    <w:abstractNumId w:val="8"/>
  </w:num>
  <w:num w:numId="13">
    <w:abstractNumId w:val="13"/>
  </w:num>
  <w:num w:numId="14">
    <w:abstractNumId w:val="7"/>
  </w:num>
  <w:num w:numId="15">
    <w:abstractNumId w:val="1"/>
  </w:num>
  <w:num w:numId="16">
    <w:abstractNumId w:val="15"/>
  </w:num>
  <w:num w:numId="17">
    <w:abstractNumId w:val="1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198"/>
    <w:rsid w:val="00045198"/>
    <w:rsid w:val="001D7C9B"/>
    <w:rsid w:val="00462B98"/>
    <w:rsid w:val="004935D2"/>
    <w:rsid w:val="00C42D0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4A9E93-E72F-4152-9D0A-0B75D7C6C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806521">
      <w:bodyDiv w:val="1"/>
      <w:marLeft w:val="0"/>
      <w:marRight w:val="0"/>
      <w:marTop w:val="0"/>
      <w:marBottom w:val="0"/>
      <w:divBdr>
        <w:top w:val="none" w:sz="0" w:space="0" w:color="auto"/>
        <w:left w:val="none" w:sz="0" w:space="0" w:color="auto"/>
        <w:bottom w:val="none" w:sz="0" w:space="0" w:color="auto"/>
        <w:right w:val="none" w:sz="0" w:space="0" w:color="auto"/>
      </w:divBdr>
    </w:div>
    <w:div w:id="484081540">
      <w:bodyDiv w:val="1"/>
      <w:marLeft w:val="0"/>
      <w:marRight w:val="0"/>
      <w:marTop w:val="0"/>
      <w:marBottom w:val="0"/>
      <w:divBdr>
        <w:top w:val="none" w:sz="0" w:space="0" w:color="auto"/>
        <w:left w:val="none" w:sz="0" w:space="0" w:color="auto"/>
        <w:bottom w:val="none" w:sz="0" w:space="0" w:color="auto"/>
        <w:right w:val="none" w:sz="0" w:space="0" w:color="auto"/>
      </w:divBdr>
    </w:div>
    <w:div w:id="548493042">
      <w:bodyDiv w:val="1"/>
      <w:marLeft w:val="0"/>
      <w:marRight w:val="0"/>
      <w:marTop w:val="0"/>
      <w:marBottom w:val="0"/>
      <w:divBdr>
        <w:top w:val="none" w:sz="0" w:space="0" w:color="auto"/>
        <w:left w:val="none" w:sz="0" w:space="0" w:color="auto"/>
        <w:bottom w:val="none" w:sz="0" w:space="0" w:color="auto"/>
        <w:right w:val="none" w:sz="0" w:space="0" w:color="auto"/>
      </w:divBdr>
    </w:div>
    <w:div w:id="202843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2947</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2025-10-13T10:40:00Z</dcterms:created>
  <dcterms:modified xsi:type="dcterms:W3CDTF">2025-10-13T10:40:00Z</dcterms:modified>
</cp:coreProperties>
</file>